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Direkte &amp; indirekte Rede  – Niveau D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Voraussetzung: “Direkte &amp; indirekte Rede – Niveau C”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Comicgeschichte in indirekte Rede umwandeln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Aufgabe: Schreibe die Geschichte (aus Niveau C) in indirekter Rede um, als würdest du sie für eine Zeitung oder einen Bericht wiedergeben. Nutze den Konjunktiv I für das Berichten und ggf. den Konjunktiv II für Irreales.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Beispiele: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38100</wp:posOffset>
                </wp:positionV>
                <wp:extent cx="5506720" cy="14732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2080" y="3052980"/>
                          <a:ext cx="5487840" cy="145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Kurze Einführung: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Konjunktiv I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wird verwendet, um wiederzugeben, was jemand sagt oder gesagt hat, ohne es zu verändern.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Konjunktiv II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nutzt man für Irreales, Wünsche oder höfliche Formulierungen.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38100</wp:posOffset>
                </wp:positionV>
                <wp:extent cx="5506720" cy="14732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6720" cy="147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6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19"/>
        <w:tblGridChange w:id="0">
          <w:tblGrid>
            <w:gridCol w:w="4320"/>
            <w:gridCol w:w="43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Direkte Rede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Indirekte Rede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„Ich gehe jetzt.“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Er sagt, er gehe jetzt. (Konjunktiv I)</w:t>
              <w:br w:type="textWrapping"/>
              <w:t xml:space="preserve">Er sagt, er ginge jetzt (Konjunktiv II)</w:t>
              <w:br w:type="textWrapping"/>
              <w:t xml:space="preserve">Er sagt, er würde jetzt gehen (Konj. 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„Er kommt morgen.“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Sie sagen, er komme morgen (Konj. 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Sie sagen, er käme morgen. (Konj. II)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Sie sagen, er würde morgen kommen. (Konj. II)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Schritte: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1. Nimm deine Geschichte aus Niveau 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2. Markiere alle direkten Reden.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3. Wandle sie in indirekte Rede im Konjunktiv I 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4. Achte darauf, dass die Satzstellung und Zeitformen angepasst werden.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5. Lies deinen Text vor – klingt er wie aus einer Nachrichtensendung?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Extra-Übung: Lies deinen Text als Nachrichtensprecher vor und nimm dich dabei auf.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Platz für deine Überarbeitung:</w:t>
      </w:r>
    </w:p>
    <w:p w:rsidR="00000000" w:rsidDel="00000000" w:rsidP="00000000" w:rsidRDefault="00000000" w:rsidRPr="00000000" w14:paraId="00000017">
      <w:pPr>
        <w:pStyle w:val="Heading2"/>
        <w:rPr>
          <w:color w:val="366091"/>
          <w:sz w:val="28"/>
          <w:szCs w:val="28"/>
        </w:rPr>
      </w:pPr>
      <w:r w:rsidDel="00000000" w:rsidR="00000000" w:rsidRPr="00000000">
        <w:rPr>
          <w:color w:val="366091"/>
          <w:sz w:val="28"/>
          <w:szCs w:val="28"/>
          <w:rtl w:val="0"/>
        </w:rPr>
        <w:t xml:space="preserve">Direkte &amp; indirekte Rede  – Niveau D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Teil 2 – Bonusaufgabe: Vergangenheit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Schreibe deine Geschichte nun in der Vergangenheit (Präteritum oder Perfekt). Stell dir vor, du erzählst, was gestern passiert ist.</w:t>
        <w:br w:type="textWrapping"/>
        <w:t xml:space="preserve">Tipp: Verwende Wörter wie „damals“, „früher“, „in jenem Moment“.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Erinnerung: Zeitformen</w:t>
      </w:r>
    </w:p>
    <w:tbl>
      <w:tblPr>
        <w:tblStyle w:val="Table2"/>
        <w:tblW w:w="8640.0" w:type="dxa"/>
        <w:jc w:val="left"/>
        <w:tblLayout w:type="fixed"/>
        <w:tblLook w:val="0000"/>
      </w:tblPr>
      <w:tblGrid>
        <w:gridCol w:w="1368"/>
        <w:gridCol w:w="3902"/>
        <w:gridCol w:w="3370"/>
        <w:tblGridChange w:id="0">
          <w:tblGrid>
            <w:gridCol w:w="1368"/>
            <w:gridCol w:w="3902"/>
            <w:gridCol w:w="337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Zeitform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Beispiel Satz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Verwendung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Präsens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Ich gehe in den Laden und kaufe ein Eis.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Jetzt, allgemein gültig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Präteritum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Ich ging in den Laden und kaufte ein Eis.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Erzählen in der Vergangenheit (schriftlich)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Perfekt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Ich bin in den Laden gegangen und habe ein Eis gekauft.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Vergangenes, mündlich/gesprochen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Direkte Rede → Indirekte Rede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Direkte Rede (Präsens)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sagt: „Ich gehe in den Laden und kaufe ein Eis.“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Indirekte Rede (Präsens)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sie in den Laden geht und ein Eis kauft.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Direkte Rede (Präteritum)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sagte: „Ich ging in den Laden und kaufte ein Eis.“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Indirekte Rede (Konjunktiv I)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sagte,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 gehe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den Laden und kaufe ein Eis.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Direkte Rede (Perfekt)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sagte: „Ich bin in den Laden gegangen und habe ein Eis gekauft.“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Indirekte Rede (Konjunktiv I)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sagte,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 sei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den Laden gegangen und habe ein Eis gekauft.</w:t>
      </w:r>
    </w:p>
    <w:p w:rsidR="00000000" w:rsidDel="00000000" w:rsidP="00000000" w:rsidRDefault="00000000" w:rsidRPr="00000000" w14:paraId="00000031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right"/>
      <w:rPr/>
    </w:pPr>
    <w:r w:rsidDel="00000000" w:rsidR="00000000" w:rsidRPr="00000000">
      <w:rPr>
        <w:b w:val="1"/>
        <w:sz w:val="30"/>
        <w:szCs w:val="30"/>
        <w:rtl w:val="0"/>
      </w:rPr>
      <w:t xml:space="preserve">DE-DIR-D-1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 w:val="1"/>
    <w:rsid w:val="00E618BF"/>
    <w:rPr/>
  </w:style>
  <w:style w:type="character" w:styleId="FooterChar" w:customStyle="1">
    <w:name w:val="Footer Char"/>
    <w:basedOn w:val="DefaultParagraphFont"/>
    <w:uiPriority w:val="99"/>
    <w:qFormat w:val="1"/>
    <w:rsid w:val="00E618BF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1Char" w:customStyle="1">
    <w:name w:val="Heading 1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uiPriority w:val="10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 w:val="1"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 w:val="1"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 w:val="1"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 w:val="1"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 w:val="1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character" w:styleId="Aufzhlungszeichen">
    <w:name w:val="Aufzählungszeichen"/>
    <w:qFormat w:val="1"/>
    <w:rPr>
      <w:rFonts w:ascii="OpenSymbol" w:cs="OpenSymbol" w:eastAsia="OpenSymbol" w:hAnsi="OpenSymbol"/>
    </w:rPr>
  </w:style>
  <w:style w:type="paragraph" w:styleId="berschrift">
    <w:name w:val="Überschrift"/>
    <w:basedOn w:val="Normal"/>
    <w:next w:val="Body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 w:before="0"/>
    </w:pPr>
    <w:rPr/>
  </w:style>
  <w:style w:type="paragraph" w:styleId="List">
    <w:name w:val="List"/>
    <w:basedOn w:val="Normal"/>
    <w:uiPriority w:val="99"/>
    <w:unhideWhenUsed w:val="1"/>
    <w:rsid w:val="00AA1D8D"/>
    <w:pPr>
      <w:spacing w:after="200" w:before="0"/>
      <w:ind w:left="360" w:hanging="360"/>
      <w:contextualSpacing w:val="1"/>
    </w:pPr>
    <w:rPr/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Verzeichnis">
    <w:name w:val="Verzeichnis"/>
    <w:basedOn w:val="Normal"/>
    <w:qFormat w:val="1"/>
    <w:pPr>
      <w:suppressLineNumbers w:val="1"/>
    </w:pPr>
    <w:rPr>
      <w:rFonts w:cs="Lohit Devanagari"/>
    </w:rPr>
  </w:style>
  <w:style w:type="paragraph" w:styleId="Kopf-Fuzeile">
    <w:name w:val="Kopf-/Fußzeile"/>
    <w:basedOn w:val="Normal"/>
    <w:qFormat w:val="1"/>
    <w:pPr/>
    <w:rPr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NoSpacing">
    <w:name w:val="No Spacing"/>
    <w:uiPriority w:val="1"/>
    <w:qFormat w:val="1"/>
    <w:rsid w:val="00FC693F"/>
    <w:pPr>
      <w:widowControl w:val="1"/>
      <w:bidi w:val="0"/>
      <w:spacing w:after="0" w:before="0" w:line="240" w:lineRule="auto"/>
      <w:jc w:val="left"/>
    </w:pPr>
    <w:rPr>
      <w:rFonts w:ascii="Cambria" w:cs="" w:eastAsia="ＭＳ 明朝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ListParagraph">
    <w:name w:val="List Paragraph"/>
    <w:basedOn w:val="Normal"/>
    <w:uiPriority w:val="34"/>
    <w:qFormat w:val="1"/>
    <w:rsid w:val="00FC693F"/>
    <w:pPr>
      <w:spacing w:after="200" w:before="0"/>
      <w:ind w:left="720"/>
      <w:contextualSpacing w:val="1"/>
    </w:pPr>
    <w:rPr/>
  </w:style>
  <w:style w:type="paragraph" w:styleId="BodyText2">
    <w:name w:val="Body Text 2"/>
    <w:basedOn w:val="Normal"/>
    <w:link w:val="BodyText2Char"/>
    <w:uiPriority w:val="99"/>
    <w:unhideWhenUsed w:val="1"/>
    <w:qFormat w:val="1"/>
    <w:rsid w:val="00AA1D8D"/>
    <w:pPr>
      <w:spacing w:after="120" w:before="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 w:val="1"/>
    <w:qFormat w:val="1"/>
    <w:rsid w:val="00AA1D8D"/>
    <w:pPr>
      <w:spacing w:after="120" w:before="0"/>
    </w:pPr>
    <w:rPr>
      <w:sz w:val="16"/>
      <w:szCs w:val="16"/>
    </w:rPr>
  </w:style>
  <w:style w:type="paragraph" w:styleId="List2">
    <w:name w:val="List 2"/>
    <w:basedOn w:val="Normal"/>
    <w:uiPriority w:val="99"/>
    <w:unhideWhenUsed w:val="1"/>
    <w:qFormat w:val="1"/>
    <w:rsid w:val="00326F90"/>
    <w:pPr>
      <w:spacing w:after="200" w:before="0"/>
      <w:ind w:left="720" w:hanging="360"/>
      <w:contextualSpacing w:val="1"/>
    </w:pPr>
    <w:rPr/>
  </w:style>
  <w:style w:type="paragraph" w:styleId="List3">
    <w:name w:val="List 3"/>
    <w:basedOn w:val="Normal"/>
    <w:uiPriority w:val="99"/>
    <w:unhideWhenUsed w:val="1"/>
    <w:qFormat w:val="1"/>
    <w:rsid w:val="00326F90"/>
    <w:pPr>
      <w:spacing w:after="200" w:before="0"/>
      <w:ind w:left="1080" w:hanging="360"/>
      <w:contextualSpacing w:val="1"/>
    </w:pPr>
    <w:rPr/>
  </w:style>
  <w:style w:type="paragraph" w:styleId="ListBullet">
    <w:name w:val="List Bullet"/>
    <w:basedOn w:val="Normal"/>
    <w:uiPriority w:val="99"/>
    <w:unhideWhenUsed w:val="1"/>
    <w:rsid w:val="00326F90"/>
    <w:pPr>
      <w:numPr>
        <w:ilvl w:val="0"/>
        <w:numId w:val="1"/>
      </w:numPr>
      <w:spacing w:after="200" w:before="0"/>
      <w:contextualSpacing w:val="1"/>
    </w:pPr>
    <w:rPr/>
  </w:style>
  <w:style w:type="paragraph" w:styleId="ListBullet2">
    <w:name w:val="List Bullet 2"/>
    <w:basedOn w:val="Normal"/>
    <w:uiPriority w:val="99"/>
    <w:unhideWhenUsed w:val="1"/>
    <w:rsid w:val="00326F90"/>
    <w:pPr>
      <w:numPr>
        <w:ilvl w:val="0"/>
        <w:numId w:val="2"/>
      </w:numPr>
      <w:spacing w:after="200" w:before="0"/>
      <w:contextualSpacing w:val="1"/>
    </w:pPr>
    <w:rPr/>
  </w:style>
  <w:style w:type="paragraph" w:styleId="ListBullet3">
    <w:name w:val="List Bullet 3"/>
    <w:basedOn w:val="Normal"/>
    <w:uiPriority w:val="99"/>
    <w:unhideWhenUsed w:val="1"/>
    <w:rsid w:val="00326F90"/>
    <w:pPr>
      <w:numPr>
        <w:ilvl w:val="0"/>
        <w:numId w:val="3"/>
      </w:numPr>
      <w:spacing w:after="200" w:before="0"/>
      <w:contextualSpacing w:val="1"/>
    </w:pPr>
    <w:rPr/>
  </w:style>
  <w:style w:type="paragraph" w:styleId="ListNumber">
    <w:name w:val="List Number"/>
    <w:basedOn w:val="Normal"/>
    <w:uiPriority w:val="99"/>
    <w:unhideWhenUsed w:val="1"/>
    <w:rsid w:val="00326F90"/>
    <w:pPr>
      <w:numPr>
        <w:ilvl w:val="0"/>
        <w:numId w:val="4"/>
      </w:numPr>
      <w:spacing w:after="200" w:before="0"/>
      <w:contextualSpacing w:val="1"/>
    </w:pPr>
    <w:rPr/>
  </w:style>
  <w:style w:type="paragraph" w:styleId="ListNumber2">
    <w:name w:val="List Number 2"/>
    <w:basedOn w:val="Normal"/>
    <w:uiPriority w:val="99"/>
    <w:unhideWhenUsed w:val="1"/>
    <w:rsid w:val="0029639D"/>
    <w:pPr>
      <w:numPr>
        <w:ilvl w:val="0"/>
        <w:numId w:val="5"/>
      </w:numPr>
      <w:spacing w:after="200" w:before="0"/>
      <w:contextualSpacing w:val="1"/>
    </w:pPr>
    <w:rPr/>
  </w:style>
  <w:style w:type="paragraph" w:styleId="ListNumber3">
    <w:name w:val="List Number 3"/>
    <w:basedOn w:val="Normal"/>
    <w:uiPriority w:val="99"/>
    <w:unhideWhenUsed w:val="1"/>
    <w:rsid w:val="0029639D"/>
    <w:pPr>
      <w:numPr>
        <w:ilvl w:val="0"/>
        <w:numId w:val="6"/>
      </w:numPr>
      <w:spacing w:after="200" w:before="0"/>
      <w:contextualSpacing w:val="1"/>
    </w:pPr>
    <w:rPr/>
  </w:style>
  <w:style w:type="paragraph" w:styleId="ListContinue">
    <w:name w:val="List Continue"/>
    <w:basedOn w:val="Normal"/>
    <w:uiPriority w:val="99"/>
    <w:unhideWhenUsed w:val="1"/>
    <w:rsid w:val="0029639D"/>
    <w:pPr>
      <w:spacing w:after="120" w:before="0"/>
      <w:ind w:left="360"/>
      <w:contextualSpacing w:val="1"/>
    </w:pPr>
    <w:rPr/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 w:before="0"/>
      <w:ind w:left="720"/>
      <w:contextualSpacing w:val="1"/>
    </w:pPr>
    <w:rPr/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 w:before="0"/>
      <w:ind w:left="1080"/>
      <w:contextualSpacing w:val="1"/>
    </w:pPr>
    <w:rPr/>
  </w:style>
  <w:style w:type="paragraph" w:styleId="macro">
    <w:name w:val="macro"/>
    <w:link w:val="MacroTextChar"/>
    <w:uiPriority w:val="99"/>
    <w:unhideWhenUsed w:val="1"/>
    <w:qFormat w:val="1"/>
    <w:rsid w:val="0029639D"/>
    <w:pPr>
      <w:widowControl w:val="1"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after="200" w:before="0" w:line="276" w:lineRule="auto"/>
      <w:jc w:val="left"/>
    </w:pPr>
    <w:rPr>
      <w:rFonts w:ascii="Courier" w:cs="" w:eastAsia="ＭＳ 明朝" w:hAnsi="Courier" w:cstheme="minorBidi" w:eastAsiaTheme="minorEastAsia"/>
      <w:color w:val="auto"/>
      <w:kern w:val="0"/>
      <w:sz w:val="20"/>
      <w:szCs w:val="20"/>
      <w:lang w:bidi="ar-SA" w:eastAsia="en-US"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pPr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  <w:rPr/>
  </w:style>
  <w:style w:type="paragraph" w:styleId="Tabelleninhalt">
    <w:name w:val="Tabelleninhalt"/>
    <w:basedOn w:val="Normal"/>
    <w:qFormat w:val="1"/>
    <w:pPr>
      <w:widowControl w:val="0"/>
      <w:suppressLineNumbers w:val="1"/>
    </w:pPr>
    <w:rPr/>
  </w:style>
  <w:style w:type="paragraph" w:styleId="Tabellenberschrift">
    <w:name w:val="Tabellenüberschrift"/>
    <w:basedOn w:val="Tabelleninhalt"/>
    <w:qFormat w:val="1"/>
    <w:pPr>
      <w:suppressLineNumbers w:val="1"/>
      <w:jc w:val="center"/>
    </w:pPr>
    <w:rPr>
      <w:b w:val="1"/>
      <w:bCs w:val="1"/>
    </w:rPr>
  </w:style>
  <w:style w:type="paragraph" w:styleId="HorizontaleLinie">
    <w:name w:val="Horizontale Linie"/>
    <w:basedOn w:val="Normal"/>
    <w:next w:val="BodyText"/>
    <w:qFormat w:val="1"/>
    <w:pPr>
      <w:suppressLineNumbers w:val="1"/>
      <w:pBdr>
        <w:bottom w:color="808080" w:space="0" w:sz="2" w:val="double"/>
      </w:pBdr>
      <w:spacing w:after="283" w:before="0"/>
    </w:pPr>
    <w:rPr>
      <w:sz w:val="12"/>
      <w:szCs w:val="12"/>
    </w:rPr>
  </w:style>
  <w:style w:type="numbering" w:styleId="KeineListe" w:default="1">
    <w:name w:val="Keine Liste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404040" w:space="0" w:sz="8" w:themeColor="text1" w:val="sing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val="doub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7ba0cd" w:space="0" w:sz="8" w:themeColor="accent1" w:val="sing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val="doub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cf7b79" w:space="0" w:sz="8" w:themeColor="accent2" w:val="sing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val="doub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b3cc82" w:space="0" w:sz="8" w:themeColor="accent3" w:val="sing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val="doub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9f8ab9" w:space="0" w:sz="8" w:themeColor="accent4" w:val="sing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val="doub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78c0d4" w:space="0" w:sz="8" w:themeColor="accent5" w:val="sing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val="doub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f9b074" w:space="0" w:sz="8" w:themeColor="accent6" w:val="sing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val="doub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404040" w:space="0" w:sz="1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ba0cd" w:space="0" w:sz="1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cf7b79" w:space="0" w:sz="1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b3cc82" w:space="0" w:sz="1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9f8ab9" w:space="0" w:sz="1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8c0d4" w:space="0" w:sz="1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f9b074" w:space="0" w:sz="1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5GwRY9VAdRR/OWcSHwVXRj0KWw==">CgMxLjA4AHIhMUdwejBsMm1KTElLREhScFBJM0VEZlg1TU1ZbTBXeUhw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